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D0" w:rsidRDefault="00BC1E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"/>
        <w:gridCol w:w="4182"/>
        <w:gridCol w:w="3527"/>
      </w:tblGrid>
      <w:tr w:rsidR="00BC1ED0" w:rsidTr="004F5031">
        <w:tc>
          <w:tcPr>
            <w:tcW w:w="580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C1ED0" w:rsidRDefault="00BC1ED0" w:rsidP="004F5031">
            <w:pPr>
              <w:jc w:val="center"/>
            </w:pPr>
          </w:p>
          <w:p w:rsidR="00BC1ED0" w:rsidRPr="00BC1ED0" w:rsidRDefault="004F5031" w:rsidP="004F503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sr-Cyrl-RS"/>
              </w:rPr>
              <w:t>ОПЕР</w:t>
            </w:r>
            <w:r w:rsidR="00BC1ED0" w:rsidRPr="00BC1ED0">
              <w:rPr>
                <w:rFonts w:ascii="Times New Roman" w:hAnsi="Times New Roman" w:cs="Times New Roman"/>
                <w:b/>
                <w:sz w:val="36"/>
                <w:szCs w:val="36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sr-Cyrl-RS"/>
              </w:rPr>
              <w:t>Т</w:t>
            </w:r>
            <w:r w:rsidR="00BC1ED0" w:rsidRPr="00BC1ED0">
              <w:rPr>
                <w:rFonts w:ascii="Times New Roman" w:hAnsi="Times New Roman" w:cs="Times New Roman"/>
                <w:b/>
                <w:sz w:val="36"/>
                <w:szCs w:val="36"/>
                <w:lang w:val="sr-Cyrl-RS"/>
              </w:rPr>
              <w:t>ИВНО ОБАВЕШТЕЊЕ</w:t>
            </w:r>
          </w:p>
          <w:p w:rsidR="00BC1ED0" w:rsidRDefault="00BC1ED0" w:rsidP="004F5031">
            <w:pPr>
              <w:jc w:val="center"/>
            </w:pPr>
          </w:p>
        </w:tc>
        <w:tc>
          <w:tcPr>
            <w:tcW w:w="354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C1ED0" w:rsidRPr="004F5031" w:rsidRDefault="00BC1ED0" w:rsidP="004F50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sr-Cyrl-RS"/>
              </w:rPr>
            </w:pPr>
            <w:r w:rsidRPr="004F503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sr-Cyrl-RS"/>
              </w:rPr>
              <w:t>ОАМ</w:t>
            </w:r>
          </w:p>
          <w:p w:rsidR="00BC1ED0" w:rsidRDefault="00BC1ED0" w:rsidP="004F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Број:</w:t>
            </w:r>
            <w:r w:rsidR="002D48B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02</w:t>
            </w:r>
            <w:r w:rsidR="00D04818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/2018</w:t>
            </w:r>
          </w:p>
          <w:p w:rsidR="00BC1ED0" w:rsidRPr="00BC1ED0" w:rsidRDefault="00BC1ED0" w:rsidP="002D4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 издавања:</w:t>
            </w:r>
            <w:r w:rsidR="0031413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2D48B9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2D48B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.02</w:t>
            </w:r>
            <w:r w:rsidR="00D0481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.2018</w:t>
            </w:r>
            <w:r w:rsidR="00AC69B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BC1ED0" w:rsidTr="003D225A">
        <w:tc>
          <w:tcPr>
            <w:tcW w:w="16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C1ED0" w:rsidRDefault="00BC1ED0" w:rsidP="004F5031">
            <w:r w:rsidRPr="00BC1ED0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Наслов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:</w:t>
            </w:r>
          </w:p>
        </w:tc>
        <w:tc>
          <w:tcPr>
            <w:tcW w:w="7745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FF0FD"/>
          </w:tcPr>
          <w:p w:rsidR="00BC1ED0" w:rsidRPr="00D04818" w:rsidRDefault="002D48B9" w:rsidP="00846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ОБНОВА ОВЛАШЋЕЊА ЗА ЛЕТЕЊЕ НА ТИПУ ИЛИ КЛАСИ ВАЗДУХОПЛОВА</w:t>
            </w:r>
          </w:p>
        </w:tc>
      </w:tr>
    </w:tbl>
    <w:p w:rsidR="00BC1ED0" w:rsidRPr="003D56CB" w:rsidRDefault="00BC1ED0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C1ED0" w:rsidTr="004F5031">
        <w:tc>
          <w:tcPr>
            <w:tcW w:w="9350" w:type="dxa"/>
            <w:vAlign w:val="center"/>
          </w:tcPr>
          <w:p w:rsidR="00A270D0" w:rsidRDefault="00D85193" w:rsidP="00D04818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На кога</w:t>
            </w:r>
            <w:r w:rsidR="004F5031" w:rsidRPr="004F5031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се примењује ОАМ:</w:t>
            </w:r>
            <w:r w:rsidR="003D56CB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</w:t>
            </w:r>
          </w:p>
          <w:p w:rsidR="004F5031" w:rsidRPr="003D56CB" w:rsidRDefault="004F5031" w:rsidP="00D04818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sym w:font="Wingdings 2" w:char="F054"/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="002D48B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Овлашћени центри за обуку (</w:t>
            </w:r>
            <w:r w:rsidR="002D48B9" w:rsidRPr="002D48B9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RS"/>
              </w:rPr>
              <w:t>АТО</w:t>
            </w:r>
            <w:r w:rsidR="002D48B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  </w:t>
            </w:r>
          </w:p>
        </w:tc>
      </w:tr>
    </w:tbl>
    <w:p w:rsidR="003D56CB" w:rsidRDefault="004F5031" w:rsidP="004F5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5031" w:rsidRDefault="004F5031" w:rsidP="003D56C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Поштовани,</w:t>
      </w:r>
    </w:p>
    <w:p w:rsidR="004D0483" w:rsidRDefault="00F0432E" w:rsidP="004D0483">
      <w:pPr>
        <w:pStyle w:val="Default"/>
        <w:ind w:firstLine="720"/>
        <w:jc w:val="both"/>
        <w:rPr>
          <w:sz w:val="23"/>
          <w:szCs w:val="23"/>
          <w:lang w:val="sr-Cyrl-RS"/>
        </w:rPr>
      </w:pPr>
      <w:r>
        <w:rPr>
          <w:b/>
          <w:bCs/>
          <w:sz w:val="23"/>
          <w:szCs w:val="23"/>
        </w:rPr>
        <w:t>FCL.740 Важење и обнова овлашћења за летење на класи и типу</w:t>
      </w:r>
      <w:r>
        <w:rPr>
          <w:b/>
          <w:bCs/>
          <w:sz w:val="23"/>
          <w:szCs w:val="23"/>
          <w:lang w:val="sr-Cyrl-RS"/>
        </w:rPr>
        <w:t xml:space="preserve">, </w:t>
      </w:r>
      <w:r w:rsidRPr="004D0483">
        <w:rPr>
          <w:bCs/>
          <w:sz w:val="23"/>
          <w:szCs w:val="23"/>
          <w:lang w:val="sr-Cyrl-RS"/>
        </w:rPr>
        <w:t>Правилника о летачком особљу, у тачки (а) дефинише период важења овлашћења</w:t>
      </w:r>
      <w:r w:rsidRPr="004D0483">
        <w:rPr>
          <w:bCs/>
          <w:sz w:val="23"/>
          <w:szCs w:val="23"/>
        </w:rPr>
        <w:t xml:space="preserve"> </w:t>
      </w:r>
      <w:r w:rsidRPr="004D0483">
        <w:rPr>
          <w:bCs/>
          <w:sz w:val="23"/>
          <w:szCs w:val="23"/>
          <w:lang w:val="sr-Cyrl-RS"/>
        </w:rPr>
        <w:t>за летење на типу или класи ваздухоплова, док се у тачки (б) наводи</w:t>
      </w:r>
      <w:r w:rsidR="004D0483">
        <w:rPr>
          <w:bCs/>
          <w:sz w:val="23"/>
          <w:szCs w:val="23"/>
          <w:lang w:val="sr-Cyrl-RS"/>
        </w:rPr>
        <w:t>:</w:t>
      </w:r>
    </w:p>
    <w:p w:rsidR="00F0432E" w:rsidRPr="004D0483" w:rsidRDefault="00F0432E" w:rsidP="004D0483">
      <w:pPr>
        <w:pStyle w:val="Default"/>
        <w:jc w:val="both"/>
        <w:rPr>
          <w:sz w:val="23"/>
          <w:szCs w:val="23"/>
          <w:lang w:val="sr-Cyrl-RS"/>
        </w:rPr>
      </w:pPr>
      <w:r w:rsidRPr="004D0483">
        <w:t xml:space="preserve">(б) Обнова. Ако је рок важења овлашћења за летење на класи и типу истекао, кандидат мора да: </w:t>
      </w:r>
    </w:p>
    <w:p w:rsidR="00F0432E" w:rsidRPr="004D0483" w:rsidRDefault="00F0432E" w:rsidP="004D0483">
      <w:pPr>
        <w:pStyle w:val="Default"/>
        <w:jc w:val="both"/>
      </w:pPr>
      <w:r w:rsidRPr="004D0483">
        <w:t>1) заврши обуку освежења знања у одобреном центру за обуку (</w:t>
      </w:r>
      <w:r w:rsidRPr="004D0483">
        <w:rPr>
          <w:i/>
          <w:iCs/>
        </w:rPr>
        <w:t>АТО</w:t>
      </w:r>
      <w:r w:rsidRPr="004D0483">
        <w:t xml:space="preserve">), како би достигао ниво оспособљености потребан за безбедно летење на одговарајућој класи или типу ваздухоплова; </w:t>
      </w:r>
    </w:p>
    <w:p w:rsidR="00F0432E" w:rsidRPr="004D0483" w:rsidRDefault="00F0432E" w:rsidP="004D048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D0483">
        <w:rPr>
          <w:rFonts w:ascii="Times New Roman" w:hAnsi="Times New Roman" w:cs="Times New Roman"/>
          <w:sz w:val="24"/>
          <w:szCs w:val="24"/>
        </w:rPr>
        <w:t>2) положи проверу стручности у складу са Додатком 9 овог анекса.</w:t>
      </w:r>
      <w:r w:rsidR="003D225A" w:rsidRPr="004D0483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0432E" w:rsidRDefault="00F0432E" w:rsidP="002D48B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432E" w:rsidRDefault="00F0432E" w:rsidP="00F0432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Прецизнија упутства за </w:t>
      </w:r>
      <w:r w:rsidR="00915D0E">
        <w:rPr>
          <w:rFonts w:ascii="Times New Roman" w:hAnsi="Times New Roman" w:cs="Times New Roman"/>
          <w:sz w:val="24"/>
          <w:szCs w:val="24"/>
          <w:lang w:val="sr-Cyrl-RS"/>
        </w:rPr>
        <w:t>примену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ове одредбе су </w:t>
      </w:r>
      <w:r w:rsidR="00915D0E">
        <w:rPr>
          <w:rFonts w:ascii="Times New Roman" w:hAnsi="Times New Roman" w:cs="Times New Roman"/>
          <w:sz w:val="24"/>
          <w:szCs w:val="24"/>
          <w:lang w:val="sr-Cyrl-RS"/>
        </w:rPr>
        <w:t>дата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параграфу </w:t>
      </w:r>
      <w:r>
        <w:rPr>
          <w:rFonts w:ascii="Times New Roman" w:hAnsi="Times New Roman" w:cs="Times New Roman"/>
          <w:sz w:val="24"/>
          <w:szCs w:val="24"/>
          <w:lang w:val="sr-Latn-RS"/>
        </w:rPr>
        <w:t>AMC1 FCL.740 (b)(1).</w:t>
      </w:r>
    </w:p>
    <w:p w:rsidR="002715C1" w:rsidRDefault="00F0432E" w:rsidP="00F0432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 (с)</w:t>
      </w:r>
      <w:r w:rsidR="003D56CB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поменутог параграфа</w:t>
      </w:r>
      <w:r w:rsidR="003D56CB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A53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 наводи да би центар за обуку (АТО), након успешног завршетка обуке освежења знања, требао да кандидату изда сертификат или други документовани доказ,  који се доставља надлежној ваздухопловној власти</w:t>
      </w:r>
      <w:r w:rsidR="004D0483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уз азхтев за обнову важења овлашћења. Такође се наводи да би </w:t>
      </w:r>
      <w:r w:rsidR="003D56CB">
        <w:rPr>
          <w:rFonts w:ascii="Times New Roman" w:hAnsi="Times New Roman" w:cs="Times New Roman"/>
          <w:sz w:val="24"/>
          <w:szCs w:val="24"/>
          <w:lang w:val="sr-Cyrl-RS"/>
        </w:rPr>
        <w:t xml:space="preserve">документа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требао да садржи </w:t>
      </w:r>
      <w:r w:rsidRPr="004D0483">
        <w:rPr>
          <w:rFonts w:ascii="Times New Roman" w:hAnsi="Times New Roman" w:cs="Times New Roman"/>
          <w:b/>
          <w:sz w:val="24"/>
          <w:szCs w:val="24"/>
          <w:lang w:val="sr-Cyrl-RS"/>
        </w:rPr>
        <w:t>опис програма обуке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0432E" w:rsidRDefault="00F0432E" w:rsidP="00F0432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досадашњој пракси </w:t>
      </w:r>
      <w:r w:rsidR="004D0483">
        <w:rPr>
          <w:rFonts w:ascii="Times New Roman" w:hAnsi="Times New Roman" w:cs="Times New Roman"/>
          <w:sz w:val="24"/>
          <w:szCs w:val="24"/>
          <w:lang w:val="sr-Cyrl-RS"/>
        </w:rPr>
        <w:t>је утврђено да се одређени број центара за обуку не придржава ове одредбе, те је издавао докуменат са веома кратким и уопш</w:t>
      </w:r>
      <w:r w:rsidR="00915D0E">
        <w:rPr>
          <w:rFonts w:ascii="Times New Roman" w:hAnsi="Times New Roman" w:cs="Times New Roman"/>
          <w:sz w:val="24"/>
          <w:szCs w:val="24"/>
          <w:lang w:val="sr-Cyrl-RS"/>
        </w:rPr>
        <w:t>т</w:t>
      </w:r>
      <w:bookmarkStart w:id="0" w:name="_GoBack"/>
      <w:bookmarkEnd w:id="0"/>
      <w:r w:rsidR="004D0483">
        <w:rPr>
          <w:rFonts w:ascii="Times New Roman" w:hAnsi="Times New Roman" w:cs="Times New Roman"/>
          <w:sz w:val="24"/>
          <w:szCs w:val="24"/>
          <w:lang w:val="sr-Cyrl-RS"/>
        </w:rPr>
        <w:t>еним информацијама о спроведеној обуци освежења знања.</w:t>
      </w:r>
    </w:p>
    <w:p w:rsidR="004D0483" w:rsidRDefault="004D0483" w:rsidP="00F0432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вези наведеног подсећамо на обавезу центара за обуку да у </w:t>
      </w:r>
      <w:r w:rsidR="003D56CB">
        <w:rPr>
          <w:rFonts w:ascii="Times New Roman" w:hAnsi="Times New Roman" w:cs="Times New Roman"/>
          <w:sz w:val="24"/>
          <w:szCs w:val="24"/>
          <w:lang w:val="sr-Cyrl-RS"/>
        </w:rPr>
        <w:t>документу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прецизно и детаљно наведу који обим обуке је извршен. На пример:</w:t>
      </w:r>
    </w:p>
    <w:p w:rsidR="004D0483" w:rsidRPr="00A270D0" w:rsidRDefault="004D0483" w:rsidP="004D048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270D0">
        <w:rPr>
          <w:rFonts w:ascii="Times New Roman" w:hAnsi="Times New Roman" w:cs="Times New Roman"/>
          <w:b/>
          <w:sz w:val="24"/>
          <w:szCs w:val="24"/>
          <w:lang w:val="sr-Cyrl-RS"/>
        </w:rPr>
        <w:t>Информација о обиму теоријске обуке, са тачно наведеним темама;</w:t>
      </w:r>
    </w:p>
    <w:p w:rsidR="00262159" w:rsidRPr="00A270D0" w:rsidRDefault="004D0483" w:rsidP="0026215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270D0">
        <w:rPr>
          <w:rFonts w:ascii="Times New Roman" w:hAnsi="Times New Roman" w:cs="Times New Roman"/>
          <w:b/>
          <w:sz w:val="24"/>
          <w:szCs w:val="24"/>
          <w:lang w:val="sr-Cyrl-RS"/>
        </w:rPr>
        <w:t>Информација о обиму практичне обуке, са наведеним вежбама и укупним временом летења.</w:t>
      </w:r>
    </w:p>
    <w:p w:rsidR="003D56CB" w:rsidRPr="003D56CB" w:rsidRDefault="003D56CB" w:rsidP="00A270D0">
      <w:pPr>
        <w:pStyle w:val="ListParagraph"/>
        <w:spacing w:after="0"/>
        <w:ind w:left="50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1C59" w:rsidRPr="00262159" w:rsidRDefault="003A1C59" w:rsidP="004103AF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62159">
        <w:rPr>
          <w:rFonts w:ascii="Times New Roman" w:hAnsi="Times New Roman" w:cs="Times New Roman"/>
          <w:b/>
          <w:sz w:val="24"/>
          <w:szCs w:val="24"/>
          <w:lang w:val="sr-Cyrl-RS"/>
        </w:rPr>
        <w:t>Директорат цивилног ваздухопловства</w:t>
      </w:r>
    </w:p>
    <w:p w:rsidR="008B4A79" w:rsidRPr="00A270D0" w:rsidRDefault="003A1C59" w:rsidP="00A270D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6215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26215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26215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26215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26215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262159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Одељење ваздухопловног особља</w:t>
      </w:r>
    </w:p>
    <w:sectPr w:rsidR="008B4A79" w:rsidRPr="00A270D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B82" w:rsidRDefault="00C00B82" w:rsidP="004F5031">
      <w:pPr>
        <w:spacing w:after="0" w:line="240" w:lineRule="auto"/>
      </w:pPr>
      <w:r>
        <w:separator/>
      </w:r>
    </w:p>
  </w:endnote>
  <w:endnote w:type="continuationSeparator" w:id="0">
    <w:p w:rsidR="00C00B82" w:rsidRDefault="00C00B82" w:rsidP="004F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031" w:rsidRPr="004F5031" w:rsidRDefault="004F5031" w:rsidP="004F5031">
    <w:pPr>
      <w:spacing w:after="101"/>
      <w:ind w:left="-284" w:right="-187"/>
      <w:jc w:val="center"/>
      <w:rPr>
        <w:rFonts w:ascii="Arial" w:eastAsia="Arial" w:hAnsi="Arial" w:cs="Arial"/>
        <w:color w:val="6E6E6E"/>
        <w:sz w:val="19"/>
        <w:lang w:val="sr-Latn-RS" w:eastAsia="sr-Latn-RS"/>
      </w:rPr>
    </w:pPr>
    <w:r w:rsidRPr="004F5031">
      <w:rPr>
        <w:rFonts w:ascii="Calibri" w:eastAsia="Calibri" w:hAnsi="Calibri" w:cs="Calibri"/>
        <w:noProof/>
        <w:color w:val="000000"/>
      </w:rPr>
      <mc:AlternateContent>
        <mc:Choice Requires="wpg">
          <w:drawing>
            <wp:inline distT="0" distB="0" distL="0" distR="0" wp14:anchorId="7F30E3B2" wp14:editId="119C1555">
              <wp:extent cx="6119991" cy="54001"/>
              <wp:effectExtent l="0" t="0" r="0" b="0"/>
              <wp:docPr id="607" name="Group 6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4001"/>
                        <a:chOff x="0" y="0"/>
                        <a:chExt cx="6119991" cy="54001"/>
                      </a:xfrm>
                    </wpg:grpSpPr>
                    <wps:wsp>
                      <wps:cNvPr id="646" name="Shape 646"/>
                      <wps:cNvSpPr/>
                      <wps:spPr>
                        <a:xfrm>
                          <a:off x="0" y="0"/>
                          <a:ext cx="6119991" cy="54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 h="5400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  <a:lnTo>
                                <a:pt x="6119991" y="54001"/>
                              </a:lnTo>
                              <a:lnTo>
                                <a:pt x="0" y="540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CECE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6CDEEFD" id="Group 607" o:spid="_x0000_s1026" style="width:481.9pt;height:4.25pt;mso-position-horizontal-relative:char;mso-position-vertical-relative:line" coordsize="61199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">
              <v:shape id="Shape 646" o:spid="_x0000_s1027" style="position:absolute;width:61199;height:540;visibility:visible;mso-wrap-style:square;v-text-anchor:top" coordsize="6119991,54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YU8UA&#10;AADcAAAADwAAAGRycy9kb3ducmV2LnhtbESPS2vDMBCE74X+B7GB3hrZpZjiRgkhpi96yuPQ48ba&#10;2G6tlZBUR/33VaGQ4zAz3zCLVTKjmMiHwbKCcl6AIG6tHrhTcNg/3T6ACBFZ42iZFPxQgNXy+mqB&#10;tbZn3tK0i53IEA41KuhjdLWUoe3JYJhbR5y9k/UGY5a+k9rjOcPNKO+KopIGB84LPTra9NR+7b6N&#10;guTLt2MzdVN6eX9ef3y6Zlu6RqmbWVo/goiU4iX8337VCqr7Cv7O5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hhTxQAAANwAAAAPAAAAAAAAAAAAAAAAAJgCAABkcnMv&#10;ZG93bnJldi54bWxQSwUGAAAAAAQABAD1AAAAigMAAAAA&#10;" path="m,l6119991,r,54001l,54001,,e" fillcolor="#ececec" stroked="f" strokeweight="0">
                <v:stroke miterlimit="83231f" joinstyle="miter"/>
                <v:path arrowok="t" textboxrect="0,0,6119991,54001"/>
              </v:shape>
              <w10:anchorlock/>
            </v:group>
          </w:pict>
        </mc:Fallback>
      </mc:AlternateContent>
    </w:r>
  </w:p>
  <w:p w:rsidR="004F5031" w:rsidRPr="004F5031" w:rsidRDefault="004F5031" w:rsidP="004F5031">
    <w:pPr>
      <w:spacing w:after="0"/>
      <w:ind w:left="-284" w:right="-187" w:hanging="10"/>
      <w:jc w:val="center"/>
      <w:rPr>
        <w:rFonts w:ascii="Arial" w:eastAsia="Arial" w:hAnsi="Arial" w:cs="Arial"/>
        <w:color w:val="6E6E6E"/>
        <w:sz w:val="19"/>
        <w:lang w:val="sr-Latn-RS" w:eastAsia="sr-Latn-RS"/>
      </w:rPr>
    </w:pPr>
    <w:r w:rsidRPr="004F5031">
      <w:rPr>
        <w:rFonts w:ascii="Arial" w:eastAsia="Arial" w:hAnsi="Arial" w:cs="Arial"/>
        <w:color w:val="6E6E6E"/>
        <w:sz w:val="19"/>
        <w:lang w:val="sr-Latn-RS" w:eastAsia="sr-Latn-RS"/>
      </w:rPr>
      <w:t xml:space="preserve">11000 Београд; </w:t>
    </w:r>
    <w:r w:rsidRPr="004F5031">
      <w:rPr>
        <w:rFonts w:ascii="Arial" w:eastAsia="Arial" w:hAnsi="Arial" w:cs="Arial"/>
        <w:color w:val="6E6E6E"/>
        <w:sz w:val="19"/>
        <w:lang w:val="sr-Cyrl-RS" w:eastAsia="sr-Latn-RS"/>
      </w:rPr>
      <w:t>Скадарска</w:t>
    </w:r>
    <w:r w:rsidRPr="004F5031">
      <w:rPr>
        <w:rFonts w:ascii="Arial" w:eastAsia="Arial" w:hAnsi="Arial" w:cs="Arial"/>
        <w:color w:val="6E6E6E"/>
        <w:sz w:val="19"/>
        <w:lang w:val="sr-Latn-RS" w:eastAsia="sr-Latn-RS"/>
      </w:rPr>
      <w:t xml:space="preserve"> </w:t>
    </w:r>
    <w:r w:rsidRPr="004F5031">
      <w:rPr>
        <w:rFonts w:ascii="Arial" w:eastAsia="Arial" w:hAnsi="Arial" w:cs="Arial"/>
        <w:color w:val="6E6E6E"/>
        <w:sz w:val="19"/>
        <w:lang w:val="sr-Cyrl-RS" w:eastAsia="sr-Latn-RS"/>
      </w:rPr>
      <w:t>23</w:t>
    </w:r>
    <w:r w:rsidRPr="004F5031">
      <w:rPr>
        <w:rFonts w:ascii="Arial" w:eastAsia="Arial" w:hAnsi="Arial" w:cs="Arial"/>
        <w:color w:val="6E6E6E"/>
        <w:sz w:val="19"/>
        <w:lang w:val="sr-Latn-RS" w:eastAsia="sr-Latn-RS"/>
      </w:rPr>
      <w:t>; тел: +381 11 292 70 00; факс: +381 11 311 75 79</w:t>
    </w:r>
  </w:p>
  <w:p w:rsidR="004F5031" w:rsidRPr="004F5031" w:rsidRDefault="004F5031" w:rsidP="004F5031">
    <w:pPr>
      <w:tabs>
        <w:tab w:val="left" w:pos="915"/>
        <w:tab w:val="center" w:pos="4460"/>
      </w:tabs>
      <w:spacing w:after="0"/>
      <w:ind w:left="-284" w:right="-187" w:hanging="10"/>
      <w:rPr>
        <w:rFonts w:ascii="Arial" w:eastAsia="Arial" w:hAnsi="Arial" w:cs="Arial"/>
        <w:color w:val="6E6E6E"/>
        <w:sz w:val="19"/>
        <w:lang w:val="sr-Latn-RS" w:eastAsia="sr-Latn-RS"/>
      </w:rPr>
    </w:pPr>
    <w:r w:rsidRPr="004F5031">
      <w:rPr>
        <w:rFonts w:ascii="Arial" w:eastAsia="Arial" w:hAnsi="Arial" w:cs="Arial"/>
        <w:color w:val="6E6E6E"/>
        <w:sz w:val="19"/>
        <w:lang w:val="sr-Latn-RS" w:eastAsia="sr-Latn-RS"/>
      </w:rPr>
      <w:tab/>
    </w:r>
    <w:r w:rsidRPr="004F5031">
      <w:rPr>
        <w:rFonts w:ascii="Arial" w:eastAsia="Arial" w:hAnsi="Arial" w:cs="Arial"/>
        <w:color w:val="6E6E6E"/>
        <w:sz w:val="19"/>
        <w:lang w:val="sr-Latn-RS" w:eastAsia="sr-Latn-RS"/>
      </w:rPr>
      <w:tab/>
      <w:t>110</w:t>
    </w:r>
    <w:r w:rsidRPr="004F5031">
      <w:rPr>
        <w:rFonts w:ascii="Arial" w:eastAsia="Arial" w:hAnsi="Arial" w:cs="Arial"/>
        <w:color w:val="6E6E6E"/>
        <w:sz w:val="19"/>
        <w:lang w:val="sr-Cyrl-RS" w:eastAsia="sr-Latn-RS"/>
      </w:rPr>
      <w:t>0</w:t>
    </w:r>
    <w:r w:rsidRPr="004F5031">
      <w:rPr>
        <w:rFonts w:ascii="Arial" w:eastAsia="Arial" w:hAnsi="Arial" w:cs="Arial"/>
        <w:color w:val="6E6E6E"/>
        <w:sz w:val="19"/>
        <w:lang w:val="sr-Latn-RS" w:eastAsia="sr-Latn-RS"/>
      </w:rPr>
      <w:t>0 Belgrade; Skadarska 23; tel: +381 11 292 70 00; fax: +381 11 311 75 79</w:t>
    </w:r>
  </w:p>
  <w:p w:rsidR="004F5031" w:rsidRPr="004F5031" w:rsidRDefault="004F5031" w:rsidP="004F5031">
    <w:pPr>
      <w:spacing w:after="0"/>
      <w:ind w:left="-284" w:right="-187" w:hanging="10"/>
      <w:jc w:val="center"/>
      <w:rPr>
        <w:rFonts w:ascii="Arial" w:eastAsia="Arial" w:hAnsi="Arial" w:cs="Arial"/>
        <w:b/>
        <w:color w:val="6E6E6E"/>
        <w:sz w:val="19"/>
        <w:lang w:val="sr-Latn-RS" w:eastAsia="sr-Latn-RS"/>
      </w:rPr>
    </w:pPr>
    <w:r w:rsidRPr="004F5031">
      <w:rPr>
        <w:rFonts w:ascii="Arial" w:eastAsia="Arial" w:hAnsi="Arial" w:cs="Arial"/>
        <w:b/>
        <w:color w:val="6E6E6E"/>
        <w:sz w:val="19"/>
        <w:lang w:val="sr-Latn-RS" w:eastAsia="sr-Latn-RS"/>
      </w:rPr>
      <w:t>www.cad.gov.rs</w:t>
    </w:r>
  </w:p>
  <w:p w:rsidR="004F5031" w:rsidRDefault="004F50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B82" w:rsidRDefault="00C00B82" w:rsidP="004F5031">
      <w:pPr>
        <w:spacing w:after="0" w:line="240" w:lineRule="auto"/>
      </w:pPr>
      <w:r>
        <w:separator/>
      </w:r>
    </w:p>
  </w:footnote>
  <w:footnote w:type="continuationSeparator" w:id="0">
    <w:p w:rsidR="00C00B82" w:rsidRDefault="00C00B82" w:rsidP="004F5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031" w:rsidRDefault="004F503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685927" wp14:editId="5530EDE8">
          <wp:simplePos x="0" y="0"/>
          <wp:positionH relativeFrom="column">
            <wp:posOffset>-342900</wp:posOffset>
          </wp:positionH>
          <wp:positionV relativeFrom="paragraph">
            <wp:posOffset>-447675</wp:posOffset>
          </wp:positionV>
          <wp:extent cx="6664960" cy="1057275"/>
          <wp:effectExtent l="0" t="0" r="2540" b="9525"/>
          <wp:wrapNone/>
          <wp:docPr id="580" name="Picture 5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6" name="Picture 626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99" r="3112"/>
                  <a:stretch/>
                </pic:blipFill>
                <pic:spPr bwMode="auto">
                  <a:xfrm>
                    <a:off x="0" y="0"/>
                    <a:ext cx="6707984" cy="1064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B0027"/>
    <w:multiLevelType w:val="hybridMultilevel"/>
    <w:tmpl w:val="69568582"/>
    <w:lvl w:ilvl="0" w:tplc="347E4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26D08"/>
    <w:multiLevelType w:val="hybridMultilevel"/>
    <w:tmpl w:val="7E0AD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22DDB"/>
    <w:multiLevelType w:val="hybridMultilevel"/>
    <w:tmpl w:val="4E9E5990"/>
    <w:lvl w:ilvl="0" w:tplc="DD98CC0A">
      <w:start w:val="2"/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49"/>
    <w:rsid w:val="00262159"/>
    <w:rsid w:val="002715C1"/>
    <w:rsid w:val="002D48B9"/>
    <w:rsid w:val="0031413B"/>
    <w:rsid w:val="0038038B"/>
    <w:rsid w:val="003A1C59"/>
    <w:rsid w:val="003D225A"/>
    <w:rsid w:val="003D56CB"/>
    <w:rsid w:val="004103AF"/>
    <w:rsid w:val="004D0483"/>
    <w:rsid w:val="004F5031"/>
    <w:rsid w:val="005A53E7"/>
    <w:rsid w:val="005A7C49"/>
    <w:rsid w:val="00751891"/>
    <w:rsid w:val="007D487A"/>
    <w:rsid w:val="0084658E"/>
    <w:rsid w:val="008B4A79"/>
    <w:rsid w:val="008E6A2B"/>
    <w:rsid w:val="00915D0E"/>
    <w:rsid w:val="0099647E"/>
    <w:rsid w:val="009B0E3C"/>
    <w:rsid w:val="00A270D0"/>
    <w:rsid w:val="00A43B76"/>
    <w:rsid w:val="00A448C2"/>
    <w:rsid w:val="00AC69B5"/>
    <w:rsid w:val="00B07E79"/>
    <w:rsid w:val="00B82F0D"/>
    <w:rsid w:val="00B916E6"/>
    <w:rsid w:val="00BC1ED0"/>
    <w:rsid w:val="00C00B82"/>
    <w:rsid w:val="00C04D50"/>
    <w:rsid w:val="00D04818"/>
    <w:rsid w:val="00D85193"/>
    <w:rsid w:val="00DB0147"/>
    <w:rsid w:val="00E028C3"/>
    <w:rsid w:val="00E61BF6"/>
    <w:rsid w:val="00F0432E"/>
    <w:rsid w:val="00F05DC7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F1B8E-2D0E-413C-BD52-D7416B98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031"/>
  </w:style>
  <w:style w:type="paragraph" w:styleId="Footer">
    <w:name w:val="footer"/>
    <w:basedOn w:val="Normal"/>
    <w:link w:val="FooterChar"/>
    <w:uiPriority w:val="99"/>
    <w:unhideWhenUsed/>
    <w:rsid w:val="004F5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031"/>
  </w:style>
  <w:style w:type="paragraph" w:styleId="ListParagraph">
    <w:name w:val="List Paragraph"/>
    <w:basedOn w:val="Normal"/>
    <w:uiPriority w:val="34"/>
    <w:qFormat/>
    <w:rsid w:val="00D048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E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47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043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BACCE-BD4C-4C12-A65C-E3A52436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Trivo Jokanovic</dc:creator>
  <cp:keywords/>
  <dc:description/>
  <cp:lastModifiedBy>Trivo Jokanovic</cp:lastModifiedBy>
  <cp:revision>15</cp:revision>
  <cp:lastPrinted>2018-01-19T09:47:00Z</cp:lastPrinted>
  <dcterms:created xsi:type="dcterms:W3CDTF">2017-10-18T08:58:00Z</dcterms:created>
  <dcterms:modified xsi:type="dcterms:W3CDTF">2018-02-07T12:29:00Z</dcterms:modified>
</cp:coreProperties>
</file>